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杭州电子科技大学</w:t>
      </w:r>
      <w:r>
        <w:rPr>
          <w:b/>
          <w:bCs/>
          <w:color w:val="000000"/>
          <w:sz w:val="44"/>
          <w:szCs w:val="44"/>
        </w:rPr>
        <w:t>MBA</w:t>
      </w:r>
      <w:r>
        <w:rPr>
          <w:rFonts w:hint="eastAsia"/>
          <w:b/>
          <w:bCs/>
          <w:color w:val="000000"/>
          <w:sz w:val="44"/>
          <w:szCs w:val="44"/>
        </w:rPr>
        <w:t>教育中心工商管理硕士招生复试与录取工作实施细则</w:t>
      </w:r>
    </w:p>
    <w:p>
      <w:pPr>
        <w:spacing w:line="288" w:lineRule="auto"/>
        <w:jc w:val="center"/>
        <w:rPr>
          <w:color w:val="000000"/>
          <w:sz w:val="44"/>
          <w:szCs w:val="44"/>
        </w:rPr>
      </w:pP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为做好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MBA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教育中心招生复试、录取工作，根据教育部和浙江省教育考试院有关文件精神，结合我校研究生招生工作的实际情况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  <w:t>， 经MBA教育中心招生复试工作小组审议通过，制订了工商管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理硕士（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MBA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）招生复试工作实施细则。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一、复试和录取原则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（一）基本原则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、公平公正、择优录取；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、全面考核、综合评定。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（二）优先原则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、第一志愿考生优先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第一志愿报考我校且达到我校复试分数线考生（以下简称“一志愿考生”）相对于调剂生享有“复试优先和录取优先”待遇。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2、名校高分调剂生优先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毕业于名校的高分调剂生源（以下简称：名校高分调剂生）享有“同等条件下复试优先和录取优先”待遇。其中，“名校”指进入教育部“211”、“985”工程重点建设的院校。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二、复试录取比例和复试内容与方式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（一）采用差额复试方式，复试与录取比例一般为1.2:1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（二）复试方式与考核内容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、复试方式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复试主要采用资格审查、政审、体检、政治理论测试（同等学力考生加试）、外语能力测试、面试等方式进行考核。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、复试内容</w:t>
      </w:r>
    </w:p>
    <w:p>
      <w:pPr>
        <w:widowControl/>
        <w:adjustRightInd w:val="0"/>
        <w:snapToGrid w:val="0"/>
        <w:spacing w:line="312" w:lineRule="auto"/>
        <w:ind w:firstLine="562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_GB2312" w:hAnsi="宋体" w:eastAsia="仿宋_GB2312" w:cs="宋体"/>
          <w:b/>
          <w:bCs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）政治理论测试：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对复试学生进行政治理论笔试，在命题过程中，需根据初试和复试的不同考核目标，确定考试内容，以保证初试和复试内容的相互衔接和补充，更全面的考察考生对政治理论知识的掌握是否扎实，是否具备本专业研究生入学的基本要求。</w:t>
      </w:r>
    </w:p>
    <w:p>
      <w:pPr>
        <w:widowControl/>
        <w:adjustRightInd w:val="0"/>
        <w:snapToGrid w:val="0"/>
        <w:spacing w:line="312" w:lineRule="auto"/>
        <w:ind w:firstLine="562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_GB2312" w:hAnsi="宋体" w:eastAsia="仿宋_GB2312" w:cs="宋体"/>
          <w:b/>
          <w:bCs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）综合面试：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侧重点是为了更全面的了解考生情况，考察其专业知识、综合素质及科研能力等情况。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按个人进行面试，每人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分钟。按以下程序进行，首先考生自我介绍；然后考生随机抽取考题，阅读并回答问题，并与老师进行互动讨论，由老师评分。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面试过程要有详细的记录，并由复试小组成员当场分别为每位考生打分，平均分即为考生的综合面试成绩。面试时复试小组秘书须认真填写《杭州电子科技大学研究生入学复试记录表》。</w:t>
      </w:r>
    </w:p>
    <w:p>
      <w:pPr>
        <w:widowControl/>
        <w:adjustRightInd w:val="0"/>
        <w:snapToGrid w:val="0"/>
        <w:spacing w:line="312" w:lineRule="auto"/>
        <w:ind w:firstLine="562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_GB2312" w:hAnsi="宋体" w:eastAsia="仿宋_GB2312" w:cs="宋体"/>
          <w:b/>
          <w:bCs/>
          <w:color w:val="000000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）外语听力及口语测试：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拟录取的所有考生必须参加外语听力及口语测试，按小组进行。程序如下，首先考生自我介绍；然后考生随机抽取考题，阅读并回答问题；最后考生小组根据考题进行小组讨论，由老师评分。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以上各科考核成绩满分均为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100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分，如有一科成绩不足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60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分，均视为复试不合格，不予录取。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、复试评判标准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）资格审查：复试前由中心对复试考生进行报考资格审查，对不符合教育部规定的考生，不予复试。填写《杭州电子科技大学研究生复试资格审查表》，资格审查合格者允许参加复试。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）政审：填写《杭州电子科技大学思想品德审查表》并由上级单位盖章。思想政治素质和道德品质考核及体检不作量化计入综合成绩，但考核结果不合格者不予录取。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）体检：所有取得复试资格的考生都必须在复试期间参加体检，体检标准参照教育部、卫生部、中国残联印发的《普通高等学校招生体检工作指导意见》（教学〔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2003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〕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号）的有关规定，考生体检应二级甲等以上医院进行。检查内容：内科、外科、视力、辨色力、血压、体重、腹部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B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超（肝、脾、胆、胰、肾）心电图检查、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X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线胸部检查、血液化验（丙氨酸氨基转移酶）。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）综合成绩计算方法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初试成绩占综合成绩的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55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％，复试成绩占综合成绩的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45%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，其中，复试成绩中专业笔试成绩占综合成绩的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15%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，面试成绩占综合成绩的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25%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，外语能力测试成绩占综合成绩的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5%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综合成绩计算公式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: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综合成绩（百分制）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=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（初试总分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/3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）×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50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％＋复试成绩（百分制）×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50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％。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其中：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复试成绩（百分制）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=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笔试成绩（百分制）×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％＋面试成绩（百分制）×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60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％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+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外语能力测试成绩（百分制）×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％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面试评分标准（面试百分制）：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(1)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回答问题的准确性和专业素质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  30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分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(2)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语言表达能力（清晰性、流畅性、逻辑性等）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分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(3)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应变能力（回答迅速、灵敏度、灵活性、知识面等）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 20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分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(4)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综合素质与能力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  30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分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三、调剂要求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（一）调剂生挑选原则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需要调剂的招生学院须严格依照教育部关于调剂基本条件，并综合考虑考生初试成绩、一志愿报考学校与专业、本科毕业学校与专业以及科研能力等情况选定调剂考生。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（二）调剂程序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调剂系统开通后，我校在中国研究生招生信息网（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http://yz.chsi.com.cn/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）公布我校调剂缺额信息。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考生在规定时间内登录中国研究生招生信息网“全国硕士生招生调剂服务系统”填报调剂志愿，进行调剂申请。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需要调剂的学院在本学院招生复试工作领导小组领导下，依照调剂生挑选原则，审核调剂生申请材料，并在规定时间内（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48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小时）决定是否同意考生调剂申请。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4.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考生在接到同意调剂通知后，必须在学院规定时间内确认同意调剂，否则视为放弃。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四、录取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、一志愿考生从高分到低分依次录取，复试成绩不合格者（百分制低于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60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分）不予录取。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、一志愿录取名额不足招生指标数时，对调剂考生按照综合成绩由高分到低分依次录取。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如果上级部门对研究生招生工作有调整，按照上级的新要求执行。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本办法由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MBA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教育中心负责解释。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              MBA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教育中心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二〇一七年三月十五日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D3A"/>
    <w:rsid w:val="001F59EC"/>
    <w:rsid w:val="003C4DB8"/>
    <w:rsid w:val="006609EC"/>
    <w:rsid w:val="00802994"/>
    <w:rsid w:val="00987D3A"/>
    <w:rsid w:val="00A674FF"/>
    <w:rsid w:val="00D32F56"/>
    <w:rsid w:val="00D76E28"/>
    <w:rsid w:val="08D4434C"/>
    <w:rsid w:val="0BA66067"/>
    <w:rsid w:val="1A7B113A"/>
    <w:rsid w:val="3BBF0D55"/>
    <w:rsid w:val="4A447E5C"/>
    <w:rsid w:val="4B8B7A2E"/>
    <w:rsid w:val="5254060A"/>
    <w:rsid w:val="60DB0357"/>
    <w:rsid w:val="63866E1C"/>
    <w:rsid w:val="72910230"/>
    <w:rsid w:val="74FE3A9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iPriority="0" w:semiHidden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unhideWhenUsed/>
    <w:qFormat/>
    <w:uiPriority w:val="0"/>
    <w:pPr>
      <w:spacing w:line="360" w:lineRule="exact"/>
      <w:ind w:firstLine="540" w:firstLineChars="225"/>
    </w:pPr>
    <w:rPr>
      <w:sz w:val="24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unhideWhenUsed/>
    <w:qFormat/>
    <w:uiPriority w:val="0"/>
  </w:style>
  <w:style w:type="character" w:styleId="9">
    <w:name w:val="FollowedHyperlink"/>
    <w:basedOn w:val="6"/>
    <w:unhideWhenUsed/>
    <w:qFormat/>
    <w:uiPriority w:val="0"/>
    <w:rPr>
      <w:color w:val="333333"/>
      <w:u w:val="none"/>
    </w:rPr>
  </w:style>
  <w:style w:type="character" w:styleId="10">
    <w:name w:val="Hyperlink"/>
    <w:basedOn w:val="6"/>
    <w:unhideWhenUsed/>
    <w:qFormat/>
    <w:uiPriority w:val="0"/>
    <w:rPr>
      <w:color w:val="333333"/>
      <w:u w:val="none"/>
    </w:rPr>
  </w:style>
  <w:style w:type="paragraph" w:customStyle="1" w:styleId="12">
    <w:name w:val="List Paragraph1"/>
    <w:basedOn w:val="1"/>
    <w:qFormat/>
    <w:uiPriority w:val="0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323</Words>
  <Characters>1842</Characters>
  <Lines>15</Lines>
  <Paragraphs>4</Paragraphs>
  <TotalTime>0</TotalTime>
  <ScaleCrop>false</ScaleCrop>
  <LinksUpToDate>false</LinksUpToDate>
  <CharactersWithSpaces>2161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2014-12-19T01:46:00Z</dcterms:created>
  <dc:creator>China</dc:creator>
  <cp:lastModifiedBy>Administrator</cp:lastModifiedBy>
  <cp:lastPrinted>2014-12-26T05:44:00Z</cp:lastPrinted>
  <dcterms:modified xsi:type="dcterms:W3CDTF">2017-03-16T01:17:20Z</dcterms:modified>
  <dc:title>杭州电子科技大学2013年硕士研究生招生复试工作实施细则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